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0"/>
        <w:gridCol w:w="936"/>
        <w:gridCol w:w="1729"/>
        <w:gridCol w:w="1765"/>
      </w:tblGrid>
      <w:tr w:rsidR="00107203" w:rsidTr="00561101">
        <w:tc>
          <w:tcPr>
            <w:tcW w:w="2695" w:type="dxa"/>
          </w:tcPr>
          <w:p w:rsidR="00107203" w:rsidRPr="005451E2" w:rsidRDefault="0010720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6655" w:type="dxa"/>
            <w:gridSpan w:val="3"/>
          </w:tcPr>
          <w:p w:rsidR="00107203" w:rsidRDefault="00107203" w:rsidP="00561101">
            <w:r w:rsidRPr="005451E2">
              <w:t xml:space="preserve">Dell </w:t>
            </w:r>
            <w:r>
              <w:t>Server</w:t>
            </w:r>
          </w:p>
        </w:tc>
      </w:tr>
      <w:tr w:rsidR="00107203" w:rsidTr="00561101">
        <w:tc>
          <w:tcPr>
            <w:tcW w:w="2695" w:type="dxa"/>
          </w:tcPr>
          <w:p w:rsidR="00107203" w:rsidRPr="005451E2" w:rsidRDefault="0010720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6655" w:type="dxa"/>
            <w:gridSpan w:val="3"/>
          </w:tcPr>
          <w:p w:rsidR="00107203" w:rsidRPr="00913D03" w:rsidRDefault="00107203" w:rsidP="00561101">
            <w:pPr>
              <w:rPr>
                <w:b/>
                <w:u w:val="single"/>
              </w:rPr>
            </w:pPr>
            <w:r w:rsidRPr="00913D03">
              <w:rPr>
                <w:b/>
                <w:u w:val="single"/>
              </w:rPr>
              <w:t>Dell PowerEdge Rack Servers</w:t>
            </w:r>
          </w:p>
          <w:p w:rsidR="00107203" w:rsidRDefault="00107203" w:rsidP="00561101">
            <w:r w:rsidRPr="00913D03">
              <w:t>Scalable, effective rack server solutions, deployable in any IT environment - providing high performance computing solutions</w:t>
            </w:r>
          </w:p>
          <w:p w:rsidR="00107203" w:rsidRPr="00193DED" w:rsidRDefault="00107203" w:rsidP="00561101">
            <w:pPr>
              <w:rPr>
                <w:b/>
              </w:rPr>
            </w:pPr>
          </w:p>
        </w:tc>
      </w:tr>
      <w:tr w:rsidR="00107203" w:rsidTr="00561101">
        <w:tc>
          <w:tcPr>
            <w:tcW w:w="3415" w:type="dxa"/>
            <w:gridSpan w:val="2"/>
          </w:tcPr>
          <w:p w:rsidR="00107203" w:rsidRPr="005451E2" w:rsidRDefault="00107203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790" w:type="dxa"/>
          </w:tcPr>
          <w:p w:rsidR="00107203" w:rsidRPr="005451E2" w:rsidRDefault="0010720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3145" w:type="dxa"/>
          </w:tcPr>
          <w:p w:rsidR="00107203" w:rsidRDefault="00107203" w:rsidP="00561101">
            <w:r w:rsidRPr="003E0A8C">
              <w:t>PowerEdge R630 Rack Server</w:t>
            </w:r>
          </w:p>
        </w:tc>
      </w:tr>
      <w:tr w:rsidR="00107203" w:rsidTr="00561101">
        <w:tc>
          <w:tcPr>
            <w:tcW w:w="3415" w:type="dxa"/>
            <w:gridSpan w:val="2"/>
            <w:vMerge w:val="restart"/>
          </w:tcPr>
          <w:p w:rsidR="00107203" w:rsidRDefault="00107203" w:rsidP="00561101">
            <w:r>
              <w:rPr>
                <w:noProof/>
              </w:rPr>
              <w:drawing>
                <wp:inline distT="0" distB="0" distL="0" distR="0" wp14:anchorId="78825F3E" wp14:editId="3C8CCFE6">
                  <wp:extent cx="3573605" cy="621749"/>
                  <wp:effectExtent l="0" t="0" r="825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3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912" cy="65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107203" w:rsidRPr="005451E2" w:rsidRDefault="0010720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3145" w:type="dxa"/>
          </w:tcPr>
          <w:p w:rsidR="00107203" w:rsidRDefault="00107203" w:rsidP="00561101">
            <w:r>
              <w:t>Contact Us</w:t>
            </w:r>
          </w:p>
        </w:tc>
      </w:tr>
      <w:tr w:rsidR="00107203" w:rsidTr="00561101">
        <w:tc>
          <w:tcPr>
            <w:tcW w:w="3415" w:type="dxa"/>
            <w:gridSpan w:val="2"/>
            <w:vMerge/>
          </w:tcPr>
          <w:p w:rsidR="00107203" w:rsidRDefault="00107203" w:rsidP="00561101"/>
        </w:tc>
        <w:tc>
          <w:tcPr>
            <w:tcW w:w="2790" w:type="dxa"/>
          </w:tcPr>
          <w:p w:rsidR="00107203" w:rsidRPr="005451E2" w:rsidRDefault="0010720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3145" w:type="dxa"/>
          </w:tcPr>
          <w:p w:rsidR="00107203" w:rsidRDefault="00107203" w:rsidP="00561101">
            <w:r>
              <w:t>Refer to Product Details</w:t>
            </w:r>
          </w:p>
        </w:tc>
      </w:tr>
      <w:tr w:rsidR="00107203" w:rsidTr="00561101">
        <w:tc>
          <w:tcPr>
            <w:tcW w:w="3415" w:type="dxa"/>
            <w:gridSpan w:val="2"/>
            <w:vMerge/>
          </w:tcPr>
          <w:p w:rsidR="00107203" w:rsidRDefault="00107203" w:rsidP="00561101"/>
        </w:tc>
        <w:tc>
          <w:tcPr>
            <w:tcW w:w="2790" w:type="dxa"/>
          </w:tcPr>
          <w:p w:rsidR="00107203" w:rsidRPr="005451E2" w:rsidRDefault="0010720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3145" w:type="dxa"/>
          </w:tcPr>
          <w:p w:rsidR="00107203" w:rsidRDefault="00107203" w:rsidP="00561101">
            <w:r>
              <w:t>Refer to Product Details</w:t>
            </w:r>
          </w:p>
        </w:tc>
      </w:tr>
      <w:tr w:rsidR="00107203" w:rsidTr="00561101">
        <w:tc>
          <w:tcPr>
            <w:tcW w:w="9350" w:type="dxa"/>
            <w:gridSpan w:val="4"/>
          </w:tcPr>
          <w:p w:rsidR="00107203" w:rsidRPr="005451E2" w:rsidRDefault="00107203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107203" w:rsidTr="00561101">
        <w:tc>
          <w:tcPr>
            <w:tcW w:w="9350" w:type="dxa"/>
            <w:gridSpan w:val="4"/>
          </w:tcPr>
          <w:p w:rsidR="00107203" w:rsidRDefault="00107203" w:rsidP="00561101">
            <w:r>
              <w:t>Concentrate your computing and capacity.</w:t>
            </w:r>
          </w:p>
          <w:p w:rsidR="00107203" w:rsidRDefault="00107203" w:rsidP="00561101">
            <w:r>
              <w:t>Maximize data center efficiency with an ultra-dense virtualization or database engine that supports up to 24 flash SSDs in a 1U chassis.</w:t>
            </w:r>
          </w:p>
          <w:p w:rsidR="00107203" w:rsidRDefault="00107203" w:rsidP="00561101"/>
        </w:tc>
      </w:tr>
      <w:tr w:rsidR="00107203" w:rsidTr="00561101">
        <w:tc>
          <w:tcPr>
            <w:tcW w:w="9350" w:type="dxa"/>
            <w:gridSpan w:val="4"/>
          </w:tcPr>
          <w:p w:rsidR="00107203" w:rsidRPr="005451E2" w:rsidRDefault="00107203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107203" w:rsidTr="00561101">
        <w:tc>
          <w:tcPr>
            <w:tcW w:w="9350" w:type="dxa"/>
            <w:gridSpan w:val="4"/>
          </w:tcPr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Processor</w:t>
            </w:r>
          </w:p>
          <w:p w:rsidR="00107203" w:rsidRDefault="00107203" w:rsidP="00561101">
            <w:pPr>
              <w:numPr>
                <w:ilvl w:val="0"/>
                <w:numId w:val="1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Intel® Xeon® E5 2600 v3 processors</w:t>
            </w:r>
          </w:p>
          <w:p w:rsidR="00107203" w:rsidRPr="003E0A8C" w:rsidRDefault="00107203" w:rsidP="00561101">
            <w:pPr>
              <w:numPr>
                <w:ilvl w:val="0"/>
                <w:numId w:val="1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Operating System</w:t>
            </w:r>
          </w:p>
          <w:p w:rsidR="00107203" w:rsidRDefault="00107203" w:rsidP="00561101">
            <w:pPr>
              <w:numPr>
                <w:ilvl w:val="0"/>
                <w:numId w:val="2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Microsoft® Windows Server® 2008 R2 SP1, (includes Hyper-V®)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Microsoft Windows Server 2012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Microsoft Windows Server 2012 R2 (includes Hyper-V)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Novell® SUSE® Linux Enterprise Server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Red Hat® Enterprise Linux</w:t>
            </w:r>
          </w:p>
          <w:p w:rsidR="00107203" w:rsidRPr="003E0A8C" w:rsidRDefault="00107203" w:rsidP="00561101">
            <w:pPr>
              <w:numPr>
                <w:ilvl w:val="0"/>
                <w:numId w:val="2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Chipset</w:t>
            </w:r>
          </w:p>
          <w:p w:rsidR="00107203" w:rsidRDefault="00107203" w:rsidP="00561101">
            <w:pPr>
              <w:numPr>
                <w:ilvl w:val="0"/>
                <w:numId w:val="3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Intel C610 series chipset</w:t>
            </w:r>
          </w:p>
          <w:p w:rsidR="00107203" w:rsidRPr="003E0A8C" w:rsidRDefault="00107203" w:rsidP="00561101">
            <w:pPr>
              <w:numPr>
                <w:ilvl w:val="0"/>
                <w:numId w:val="3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Memory</w:t>
            </w:r>
            <w:bookmarkStart w:id="0" w:name="modalPopup"/>
            <w:r w:rsidRPr="003E0A8C">
              <w:rPr>
                <w:rFonts w:eastAsia="Times New Roman" w:cs="Arial"/>
                <w:b/>
                <w:bCs/>
                <w:color w:val="333333"/>
              </w:rPr>
              <w:fldChar w:fldCharType="begin"/>
            </w:r>
            <w:r w:rsidRPr="003E0A8C">
              <w:rPr>
                <w:rFonts w:eastAsia="Times New Roman" w:cs="Arial"/>
                <w:b/>
                <w:bCs/>
                <w:color w:val="333333"/>
              </w:rPr>
              <w:instrText xml:space="preserve"> HYPERLINK "http://www.dell.com/mc.ashx?id=technotes:graphic%20card&amp;c=my&amp;l=en&amp;s=bsd&amp;modalwidth=400&amp;modalHeight=150&amp;ovropac=0&amp;modalscroll=yes&amp;modaltarget=div&amp;modaltype=tooltip&amp;position=bottom&amp;title=Important%20Details&amp;flip=false&amp;eventType=rollover" </w:instrText>
            </w:r>
            <w:r w:rsidRPr="003E0A8C">
              <w:rPr>
                <w:rFonts w:eastAsia="Times New Roman" w:cs="Arial"/>
                <w:b/>
                <w:bCs/>
                <w:color w:val="333333"/>
              </w:rPr>
              <w:fldChar w:fldCharType="separate"/>
            </w:r>
            <w:r w:rsidRPr="003E0A8C">
              <w:rPr>
                <w:rFonts w:eastAsia="Times New Roman" w:cs="Arial"/>
                <w:b/>
                <w:bCs/>
                <w:color w:val="999999"/>
                <w:bdr w:val="none" w:sz="0" w:space="0" w:color="auto" w:frame="1"/>
                <w:vertAlign w:val="superscript"/>
              </w:rPr>
              <w:t>1</w:t>
            </w:r>
            <w:r w:rsidRPr="003E0A8C">
              <w:rPr>
                <w:rFonts w:eastAsia="Times New Roman" w:cs="Arial"/>
                <w:b/>
                <w:bCs/>
                <w:color w:val="333333"/>
              </w:rPr>
              <w:fldChar w:fldCharType="end"/>
            </w:r>
            <w:bookmarkEnd w:id="0"/>
          </w:p>
          <w:p w:rsidR="00107203" w:rsidRDefault="00107203" w:rsidP="00561101">
            <w:pPr>
              <w:numPr>
                <w:ilvl w:val="0"/>
                <w:numId w:val="4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24 DIMM slots, DDR4 memory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Architecture: Up to 2133MT/s DDR4 DIMMs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Memory Type: RDIMM, LRDIMM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Memory Module Sockets: 24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Minimum RAM: 4GB (one module)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Maximum RAM: Up to 768GB (24 DIMM slots): 4GB/8GB/16GB/32GB</w:t>
            </w:r>
          </w:p>
          <w:p w:rsidR="00107203" w:rsidRPr="003E0A8C" w:rsidRDefault="00107203" w:rsidP="00561101">
            <w:pPr>
              <w:numPr>
                <w:ilvl w:val="0"/>
                <w:numId w:val="4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Embedded Hypervisor (Optional)</w:t>
            </w:r>
          </w:p>
          <w:p w:rsidR="00107203" w:rsidRDefault="00107203" w:rsidP="00561101">
            <w:pPr>
              <w:numPr>
                <w:ilvl w:val="0"/>
                <w:numId w:val="5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lastRenderedPageBreak/>
              <w:t>Microsoft Windows Server 2012, includes Hyper-V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VMware® vSphere® ESXi™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Citrix® XenServer®</w:t>
            </w:r>
          </w:p>
          <w:p w:rsidR="00107203" w:rsidRPr="003E0A8C" w:rsidRDefault="00107203" w:rsidP="00561101">
            <w:pPr>
              <w:numPr>
                <w:ilvl w:val="0"/>
                <w:numId w:val="5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Storage</w:t>
            </w:r>
          </w:p>
          <w:p w:rsidR="00107203" w:rsidRDefault="00107203" w:rsidP="00561101">
            <w:pPr>
              <w:numPr>
                <w:ilvl w:val="0"/>
                <w:numId w:val="6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HDD: SAS, SATA, nearline SAS SSD: SAS, SATA, PowerEdge Express Flash NVMe PCIe SSD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24 x 1.8” SSD – up to 23TB via 0.96TB hot-plug SATA SSD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10 x 2.5” – up to 18TB via 1.8TB hot-plug SAS HDD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8 x 2.5” – up to 14TB via 1.8TB hot-plug SAS HDD</w:t>
            </w:r>
          </w:p>
          <w:p w:rsidR="00107203" w:rsidRPr="003E0A8C" w:rsidRDefault="00107203" w:rsidP="00561101">
            <w:pPr>
              <w:numPr>
                <w:ilvl w:val="0"/>
                <w:numId w:val="6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Drive Bays</w:t>
            </w:r>
          </w:p>
          <w:p w:rsidR="00107203" w:rsidRDefault="00107203" w:rsidP="00561101">
            <w:pPr>
              <w:numPr>
                <w:ilvl w:val="0"/>
                <w:numId w:val="7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Internal hard drive bay and hot-plug backplane: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Up to 24 x 1.8” SATA SSD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Up to 10 x 2.5” HDD: SAS, SATA, nearline SAS SSD: SAS, SATA, Up to 4 NVMe PCIe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Up to 8 x 2.5” HDD: SAS, SATA, nearline SAS SSD: SAS, SATA</w:t>
            </w:r>
          </w:p>
          <w:p w:rsidR="00107203" w:rsidRPr="003E0A8C" w:rsidRDefault="00107203" w:rsidP="00561101">
            <w:pPr>
              <w:numPr>
                <w:ilvl w:val="0"/>
                <w:numId w:val="7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Slots</w:t>
            </w:r>
          </w:p>
          <w:p w:rsidR="00107203" w:rsidRDefault="00107203" w:rsidP="00561101">
            <w:pPr>
              <w:numPr>
                <w:ilvl w:val="0"/>
                <w:numId w:val="8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2 CPUs, 3 slots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1: Half length, half height - PCIe 3.0 x16 (x16 connector)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2: Half length, half height - PCIe 3.0 x8 (x16 connector)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3: Half length, half height - PCIe 3.0 x16 (x16 connector)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2CPUs, 2 slots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1: Half length, half height - PCIe 3.0 x16 (x16 connector)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2: 3/4 length, full height - PCIe 3.0 x16 (x16 connector)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1CPU, 2 slots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1: Half length, half height - PCIe 3.0 x8 (x16 connector)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Slot 2: 3/4 length, full height - PCIe 3.0 x16 (x16 connector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Dedicated RAID card slot</w:t>
            </w:r>
          </w:p>
          <w:p w:rsidR="00107203" w:rsidRPr="003E0A8C" w:rsidRDefault="00107203" w:rsidP="00561101">
            <w:pPr>
              <w:numPr>
                <w:ilvl w:val="0"/>
                <w:numId w:val="8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RAID Controllers</w:t>
            </w:r>
          </w:p>
          <w:p w:rsidR="00107203" w:rsidRDefault="00107203" w:rsidP="00561101">
            <w:pPr>
              <w:numPr>
                <w:ilvl w:val="0"/>
                <w:numId w:val="9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Internal: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PERC S130 (SW RAID),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PERC H330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PERC H730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PERC H730P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External: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PERC H830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External HBAs (non-RAID):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12Gbps SAS HBA</w:t>
            </w:r>
          </w:p>
          <w:p w:rsidR="00107203" w:rsidRPr="003E0A8C" w:rsidRDefault="00107203" w:rsidP="00561101">
            <w:pPr>
              <w:numPr>
                <w:ilvl w:val="0"/>
                <w:numId w:val="9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Network Controller</w:t>
            </w:r>
          </w:p>
          <w:p w:rsidR="00107203" w:rsidRDefault="00107203" w:rsidP="00561101">
            <w:pPr>
              <w:numPr>
                <w:ilvl w:val="0"/>
                <w:numId w:val="10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4 x 1Gb, 2 x 1Gb + 2 x 10Gb, 4 x 10Gb</w:t>
            </w:r>
          </w:p>
          <w:p w:rsidR="00107203" w:rsidRPr="003E0A8C" w:rsidRDefault="00107203" w:rsidP="00561101">
            <w:pPr>
              <w:numPr>
                <w:ilvl w:val="0"/>
                <w:numId w:val="10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Communications</w:t>
            </w:r>
          </w:p>
          <w:p w:rsidR="00107203" w:rsidRPr="003E0A8C" w:rsidRDefault="00107203" w:rsidP="00561101">
            <w:pPr>
              <w:numPr>
                <w:ilvl w:val="0"/>
                <w:numId w:val="11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Broadcom® 5719 quad-port 1Gb NIC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Broadcom 5720 dual-port 1Gb NIC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Broadcom 57810 dual-port 10Gb DA/SFP+ CNA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Broadcom 57810 dual-port 10Gb Base-T network adapter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Intel® Ethernet I350 dual-port 1Gb server adapter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Intel Ethernet I350 quad-port 1Gb server adapter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Intel Ethernet X540 dual-port 10GBASE-T server adapter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Mellanox® ConnectX®-3 dual-port 10Gb Direct Attach/SFP+ server network adapter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Mellanox ConnectX-3 dual-port 40Gb Direct Attach/QSFP server network adapter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Emulex® LPE 12000, single-port 8Gb Fibre Channel HBA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Emulex LPE 12002, dual-port 8Gb Fibre Channel HBA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Emulex LPe16000B, single-port 16Gb Fibre Channel HBA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Emulex LPe16002B, dual-port 16Gb Fibre Channel HBA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Emulex OneConnect OCe14102-U1-D 2-port PCIe 10GbE CNA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QLogic® 2560, single-port 8Gb Optical Fibre Channel HBA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QLogic 2562, dual-port 8Gb Optical Fibre Channel HBA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Qlogic 2660, single-port 16GB, Fibre Channel HBA, full height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Qlogic 2662, dual-port 16GB, Fibre Channel HBA, full height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Power</w:t>
            </w:r>
          </w:p>
          <w:p w:rsidR="00107203" w:rsidRDefault="00107203" w:rsidP="00561101">
            <w:pPr>
              <w:numPr>
                <w:ilvl w:val="0"/>
                <w:numId w:val="12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1100W AC, 86 mm (Platinum)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1100W DC, 86 mm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750W AC, 86 mm (Platinum)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750W AC, 86 mm (Titanium)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495W AC, 86 mm (Platinum)</w:t>
            </w:r>
          </w:p>
          <w:p w:rsidR="00107203" w:rsidRPr="003E0A8C" w:rsidRDefault="00107203" w:rsidP="00561101">
            <w:pPr>
              <w:numPr>
                <w:ilvl w:val="0"/>
                <w:numId w:val="12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Availability</w:t>
            </w:r>
          </w:p>
          <w:p w:rsidR="00107203" w:rsidRDefault="00107203" w:rsidP="00561101">
            <w:pPr>
              <w:numPr>
                <w:ilvl w:val="0"/>
                <w:numId w:val="13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ECC memory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Hot-plug hard drives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Hot-plug redundant cooling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Hot-plug redundant power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Internal Dual SD Module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Single Device Data Correction (SDDC)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Spare Rank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Support for high availability clustering and virtualization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Proactive systems management alerts 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iDRAC8 with Lifecycle Controller</w:t>
            </w:r>
          </w:p>
          <w:p w:rsidR="00107203" w:rsidRDefault="00107203" w:rsidP="00561101">
            <w:pPr>
              <w:spacing w:line="305" w:lineRule="atLeast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Default="00107203" w:rsidP="00561101">
            <w:pPr>
              <w:spacing w:line="305" w:lineRule="atLeast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spacing w:line="305" w:lineRule="atLeast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lastRenderedPageBreak/>
              <w:t>Chassis</w:t>
            </w:r>
          </w:p>
          <w:p w:rsidR="00107203" w:rsidRDefault="00107203" w:rsidP="00561101">
            <w:pPr>
              <w:numPr>
                <w:ilvl w:val="0"/>
                <w:numId w:val="14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color w:val="333333"/>
              </w:rPr>
              <w:t>The 24 x 1.8” drive and 10 x 2.5” drive configurations have the following dimensions</w:t>
            </w:r>
            <w:proofErr w:type="gramStart"/>
            <w:r w:rsidRPr="003E0A8C">
              <w:rPr>
                <w:rFonts w:eastAsia="Times New Roman" w:cs="Arial"/>
                <w:color w:val="333333"/>
              </w:rPr>
              <w:t>:</w:t>
            </w:r>
            <w:proofErr w:type="gramEnd"/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Form Factor: 1U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H: 4.28 cm (1.68 in.) x W: 48.23 cm (18.98 in.) x D: 75.51 cm (29.72 in.)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The 8 x 2.5” drive configuration has the following dimensions</w:t>
            </w:r>
            <w:proofErr w:type="gramStart"/>
            <w:r w:rsidRPr="003E0A8C">
              <w:rPr>
                <w:rFonts w:eastAsia="Times New Roman" w:cs="Arial"/>
                <w:color w:val="333333"/>
              </w:rPr>
              <w:t>:</w:t>
            </w:r>
            <w:proofErr w:type="gramEnd"/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Form Factor: 1U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H: 4.28 cm (1.68 in.) W: 48.23 cm (18.98 in.) D: 70.05 cm (27.57 in.)</w:t>
            </w:r>
          </w:p>
          <w:p w:rsidR="00107203" w:rsidRPr="003E0A8C" w:rsidRDefault="00107203" w:rsidP="00561101">
            <w:pPr>
              <w:numPr>
                <w:ilvl w:val="0"/>
                <w:numId w:val="14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</w:p>
          <w:p w:rsidR="00107203" w:rsidRPr="003E0A8C" w:rsidRDefault="00107203" w:rsidP="00561101">
            <w:pPr>
              <w:ind w:right="195"/>
              <w:textAlignment w:val="baseline"/>
              <w:outlineLvl w:val="2"/>
              <w:rPr>
                <w:rFonts w:eastAsia="Times New Roman" w:cs="Arial"/>
                <w:b/>
                <w:bCs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</w:rPr>
              <w:t>Management</w:t>
            </w:r>
          </w:p>
          <w:p w:rsidR="00107203" w:rsidRPr="003E0A8C" w:rsidRDefault="00107203" w:rsidP="00561101">
            <w:pPr>
              <w:numPr>
                <w:ilvl w:val="0"/>
                <w:numId w:val="15"/>
              </w:numPr>
              <w:spacing w:line="305" w:lineRule="atLeast"/>
              <w:ind w:left="0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  <w:bdr w:val="none" w:sz="0" w:space="0" w:color="auto" w:frame="1"/>
              </w:rPr>
              <w:t>Systems management</w:t>
            </w:r>
            <w:r w:rsidRPr="003E0A8C">
              <w:rPr>
                <w:rFonts w:eastAsia="Times New Roman" w:cs="Arial"/>
                <w:color w:val="333333"/>
              </w:rPr>
              <w:t>: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IPMI 2.0 compliant;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Dell OpenManage Essentials; Dell OpenManage Mobile;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Dell OpenManage Power Center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b/>
                <w:bCs/>
                <w:color w:val="333333"/>
                <w:bdr w:val="none" w:sz="0" w:space="0" w:color="auto" w:frame="1"/>
              </w:rPr>
              <w:t>Dell OpenManage Integrations</w:t>
            </w:r>
            <w:r w:rsidRPr="003E0A8C">
              <w:rPr>
                <w:rFonts w:eastAsia="Times New Roman" w:cs="Arial"/>
                <w:color w:val="333333"/>
              </w:rPr>
              <w:t>: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Dell OpenManage Integration Suite for Microsoft System Center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Dell OpenManage Integration for VMware® vCenter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  <w:r w:rsidRPr="003E0A8C">
              <w:rPr>
                <w:rFonts w:eastAsia="Times New Roman" w:cs="Arial"/>
                <w:b/>
                <w:bCs/>
                <w:color w:val="333333"/>
                <w:bdr w:val="none" w:sz="0" w:space="0" w:color="auto" w:frame="1"/>
              </w:rPr>
              <w:t>Dell OpenManage Connections</w:t>
            </w:r>
            <w:r w:rsidRPr="003E0A8C">
              <w:rPr>
                <w:rFonts w:eastAsia="Times New Roman" w:cs="Arial"/>
                <w:color w:val="333333"/>
              </w:rPr>
              <w:t>: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HP Operations Manager, IBM Tivoli® Netcool® and CA Network and Systems Management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Dell OpenManage for Oracle Database Manager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</w:r>
          </w:p>
          <w:p w:rsidR="00107203" w:rsidRPr="003E0A8C" w:rsidRDefault="00107203" w:rsidP="00561101">
            <w:pPr>
              <w:spacing w:line="305" w:lineRule="atLeast"/>
              <w:textAlignment w:val="baseline"/>
              <w:rPr>
                <w:rFonts w:eastAsia="Times New Roman" w:cs="Arial"/>
                <w:color w:val="333333"/>
              </w:rPr>
            </w:pPr>
            <w:r w:rsidRPr="003E0A8C">
              <w:rPr>
                <w:rFonts w:eastAsia="Times New Roman" w:cs="Arial"/>
                <w:b/>
                <w:bCs/>
                <w:color w:val="333333"/>
                <w:bdr w:val="none" w:sz="0" w:space="0" w:color="auto" w:frame="1"/>
              </w:rPr>
              <w:t>Remote management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iDRAC8 with Lifecycle Controller,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iDRAC8 Express (default)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iDRAC8 Enterprise (upgrade)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8GB vFlash media (upgrade)16GB vFlash media (upgrade)</w:t>
            </w:r>
            <w:r w:rsidRPr="003E0A8C">
              <w:rPr>
                <w:rFonts w:eastAsia="Times New Roman" w:cs="Arial"/>
                <w:color w:val="333333"/>
              </w:rPr>
              <w:br w:type="textWrapping" w:clear="all"/>
              <w:t>iDRAC Quick Sync</w:t>
            </w:r>
          </w:p>
          <w:p w:rsidR="00107203" w:rsidRDefault="00107203" w:rsidP="00561101"/>
        </w:tc>
      </w:tr>
    </w:tbl>
    <w:p w:rsidR="00730BA0" w:rsidRPr="00107203" w:rsidRDefault="00730BA0" w:rsidP="00107203">
      <w:bookmarkStart w:id="1" w:name="_GoBack"/>
      <w:bookmarkEnd w:id="1"/>
    </w:p>
    <w:sectPr w:rsidR="00730BA0" w:rsidRPr="0010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4D14"/>
    <w:multiLevelType w:val="multilevel"/>
    <w:tmpl w:val="806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678D0"/>
    <w:multiLevelType w:val="multilevel"/>
    <w:tmpl w:val="467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A3EE8"/>
    <w:multiLevelType w:val="multilevel"/>
    <w:tmpl w:val="326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E4CCB"/>
    <w:multiLevelType w:val="multilevel"/>
    <w:tmpl w:val="C02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7768F"/>
    <w:multiLevelType w:val="multilevel"/>
    <w:tmpl w:val="57B4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47898"/>
    <w:multiLevelType w:val="multilevel"/>
    <w:tmpl w:val="3D8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97F8A"/>
    <w:multiLevelType w:val="multilevel"/>
    <w:tmpl w:val="377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86D29"/>
    <w:multiLevelType w:val="multilevel"/>
    <w:tmpl w:val="293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E009D3"/>
    <w:multiLevelType w:val="multilevel"/>
    <w:tmpl w:val="41B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E2AF0"/>
    <w:multiLevelType w:val="multilevel"/>
    <w:tmpl w:val="EE0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13B17"/>
    <w:multiLevelType w:val="multilevel"/>
    <w:tmpl w:val="562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F0B01"/>
    <w:multiLevelType w:val="multilevel"/>
    <w:tmpl w:val="C09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C4587"/>
    <w:multiLevelType w:val="multilevel"/>
    <w:tmpl w:val="353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169AB"/>
    <w:multiLevelType w:val="multilevel"/>
    <w:tmpl w:val="354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C23D5"/>
    <w:multiLevelType w:val="multilevel"/>
    <w:tmpl w:val="B130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5"/>
    <w:rsid w:val="00075F78"/>
    <w:rsid w:val="000C6803"/>
    <w:rsid w:val="0010285E"/>
    <w:rsid w:val="00107203"/>
    <w:rsid w:val="00107404"/>
    <w:rsid w:val="00113831"/>
    <w:rsid w:val="002015E0"/>
    <w:rsid w:val="00226B38"/>
    <w:rsid w:val="00284E1F"/>
    <w:rsid w:val="00285BEC"/>
    <w:rsid w:val="00293D3C"/>
    <w:rsid w:val="002C46CA"/>
    <w:rsid w:val="0030006E"/>
    <w:rsid w:val="003526BE"/>
    <w:rsid w:val="004138A4"/>
    <w:rsid w:val="00422942"/>
    <w:rsid w:val="00424BE2"/>
    <w:rsid w:val="00523060"/>
    <w:rsid w:val="0053720D"/>
    <w:rsid w:val="006C6378"/>
    <w:rsid w:val="00730BA0"/>
    <w:rsid w:val="00770B1E"/>
    <w:rsid w:val="00817E0B"/>
    <w:rsid w:val="008202E5"/>
    <w:rsid w:val="008459A0"/>
    <w:rsid w:val="00916767"/>
    <w:rsid w:val="00A53BE7"/>
    <w:rsid w:val="00A56617"/>
    <w:rsid w:val="00B14DB3"/>
    <w:rsid w:val="00B61ADB"/>
    <w:rsid w:val="00BA55E9"/>
    <w:rsid w:val="00C47DC8"/>
    <w:rsid w:val="00C5180D"/>
    <w:rsid w:val="00CC1B8D"/>
    <w:rsid w:val="00D65DD7"/>
    <w:rsid w:val="00E02782"/>
    <w:rsid w:val="00E102E4"/>
    <w:rsid w:val="00E34C34"/>
    <w:rsid w:val="00E418F1"/>
    <w:rsid w:val="00EA052F"/>
    <w:rsid w:val="00EA3B81"/>
    <w:rsid w:val="00F2775C"/>
    <w:rsid w:val="00F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FD4E4-3B99-479D-8C6F-158CE21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cheng</dc:creator>
  <cp:keywords/>
  <dc:description/>
  <cp:lastModifiedBy>owen cheng</cp:lastModifiedBy>
  <cp:revision>3</cp:revision>
  <dcterms:created xsi:type="dcterms:W3CDTF">2015-03-07T07:56:00Z</dcterms:created>
  <dcterms:modified xsi:type="dcterms:W3CDTF">2015-03-07T07:56:00Z</dcterms:modified>
</cp:coreProperties>
</file>